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534C" w:rsidRDefault="00CB2810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95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64"/>
        <w:gridCol w:w="166"/>
        <w:gridCol w:w="1170"/>
        <w:gridCol w:w="1075"/>
        <w:gridCol w:w="545"/>
        <w:gridCol w:w="569"/>
        <w:gridCol w:w="1233"/>
        <w:gridCol w:w="585"/>
        <w:gridCol w:w="653"/>
        <w:gridCol w:w="1190"/>
        <w:gridCol w:w="901"/>
        <w:gridCol w:w="899"/>
        <w:gridCol w:w="184"/>
        <w:gridCol w:w="1319"/>
      </w:tblGrid>
      <w:tr w:rsidR="00DA534C" w:rsidTr="002E03A2">
        <w:trPr>
          <w:trHeight w:val="235"/>
          <w:jc w:val="center"/>
        </w:trPr>
        <w:tc>
          <w:tcPr>
            <w:tcW w:w="522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573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Ивана Стаменковић</w:t>
            </w:r>
          </w:p>
        </w:tc>
      </w:tr>
      <w:tr w:rsidR="00DA534C" w:rsidTr="002E03A2">
        <w:trPr>
          <w:trHeight w:val="181"/>
          <w:jc w:val="center"/>
        </w:trPr>
        <w:tc>
          <w:tcPr>
            <w:tcW w:w="522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573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Доцент</w:t>
            </w:r>
          </w:p>
        </w:tc>
      </w:tr>
      <w:tr w:rsidR="00DA534C" w:rsidTr="002E03A2">
        <w:trPr>
          <w:trHeight w:val="427"/>
          <w:jc w:val="center"/>
        </w:trPr>
        <w:tc>
          <w:tcPr>
            <w:tcW w:w="522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573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CB2810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</w:rPr>
              <w:t>Филозофски факултет, Универзитет у Нишу</w:t>
            </w:r>
            <w:r w:rsidR="002E03A2">
              <w:rPr>
                <w:sz w:val="18"/>
                <w:szCs w:val="18"/>
                <w:lang w:val="sr-Cyrl-RS"/>
              </w:rPr>
              <w:t>, од 2015. године</w:t>
            </w:r>
          </w:p>
        </w:tc>
      </w:tr>
      <w:tr w:rsidR="00DA534C" w:rsidTr="002E03A2">
        <w:trPr>
          <w:trHeight w:val="271"/>
          <w:jc w:val="center"/>
        </w:trPr>
        <w:tc>
          <w:tcPr>
            <w:tcW w:w="522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573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Комуникологија, језик и студије медија</w:t>
            </w:r>
          </w:p>
        </w:tc>
      </w:tr>
      <w:tr w:rsidR="00DA534C" w:rsidTr="002E03A2">
        <w:trPr>
          <w:trHeight w:val="253"/>
          <w:jc w:val="center"/>
        </w:trPr>
        <w:tc>
          <w:tcPr>
            <w:tcW w:w="10953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DA534C" w:rsidTr="002E03A2">
        <w:trPr>
          <w:trHeight w:val="253"/>
          <w:jc w:val="center"/>
        </w:trPr>
        <w:tc>
          <w:tcPr>
            <w:tcW w:w="28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DA534C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1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2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2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или уметничка област </w:t>
            </w:r>
          </w:p>
        </w:tc>
        <w:tc>
          <w:tcPr>
            <w:tcW w:w="2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научна, уметничка или стручна област</w:t>
            </w:r>
          </w:p>
        </w:tc>
      </w:tr>
      <w:tr w:rsidR="00DA534C" w:rsidTr="002E03A2">
        <w:trPr>
          <w:trHeight w:val="199"/>
          <w:jc w:val="center"/>
        </w:trPr>
        <w:tc>
          <w:tcPr>
            <w:tcW w:w="28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1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2022.</w:t>
            </w:r>
          </w:p>
        </w:tc>
        <w:tc>
          <w:tcPr>
            <w:tcW w:w="2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2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Културолошке науке и комуникологија</w:t>
            </w:r>
          </w:p>
        </w:tc>
        <w:tc>
          <w:tcPr>
            <w:tcW w:w="2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Комуникологија, језик и студије медија</w:t>
            </w:r>
          </w:p>
        </w:tc>
      </w:tr>
      <w:tr w:rsidR="00DA534C" w:rsidTr="002E03A2">
        <w:trPr>
          <w:trHeight w:val="226"/>
          <w:jc w:val="center"/>
        </w:trPr>
        <w:tc>
          <w:tcPr>
            <w:tcW w:w="28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1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2021.</w:t>
            </w:r>
          </w:p>
        </w:tc>
        <w:tc>
          <w:tcPr>
            <w:tcW w:w="2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Факултет политичких наука Универзитет у Београду</w:t>
            </w:r>
          </w:p>
        </w:tc>
        <w:tc>
          <w:tcPr>
            <w:tcW w:w="2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Културолошке науке и комуникологија</w:t>
            </w:r>
          </w:p>
        </w:tc>
        <w:tc>
          <w:tcPr>
            <w:tcW w:w="2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Медијске студије и новинарство</w:t>
            </w:r>
          </w:p>
        </w:tc>
      </w:tr>
      <w:tr w:rsidR="00DA534C" w:rsidTr="002E03A2">
        <w:trPr>
          <w:trHeight w:val="244"/>
          <w:jc w:val="center"/>
        </w:trPr>
        <w:tc>
          <w:tcPr>
            <w:tcW w:w="28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Мастер</w:t>
            </w:r>
          </w:p>
        </w:tc>
        <w:tc>
          <w:tcPr>
            <w:tcW w:w="1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2012.</w:t>
            </w:r>
          </w:p>
        </w:tc>
        <w:tc>
          <w:tcPr>
            <w:tcW w:w="2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факултет, Ниш</w:t>
            </w:r>
          </w:p>
        </w:tc>
        <w:tc>
          <w:tcPr>
            <w:tcW w:w="2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Новинарство</w:t>
            </w:r>
          </w:p>
        </w:tc>
        <w:tc>
          <w:tcPr>
            <w:tcW w:w="2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Новинарство</w:t>
            </w:r>
          </w:p>
        </w:tc>
      </w:tr>
      <w:tr w:rsidR="00DA534C" w:rsidTr="002E03A2">
        <w:trPr>
          <w:trHeight w:val="262"/>
          <w:jc w:val="center"/>
        </w:trPr>
        <w:tc>
          <w:tcPr>
            <w:tcW w:w="28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11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2007.</w:t>
            </w:r>
          </w:p>
        </w:tc>
        <w:tc>
          <w:tcPr>
            <w:tcW w:w="24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факултет, Ниш</w:t>
            </w:r>
          </w:p>
        </w:tc>
        <w:tc>
          <w:tcPr>
            <w:tcW w:w="20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Психологија</w:t>
            </w:r>
          </w:p>
        </w:tc>
        <w:tc>
          <w:tcPr>
            <w:tcW w:w="24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Психологија</w:t>
            </w:r>
          </w:p>
        </w:tc>
      </w:tr>
      <w:tr w:rsidR="00DA534C" w:rsidTr="002E03A2">
        <w:trPr>
          <w:trHeight w:val="271"/>
          <w:jc w:val="center"/>
        </w:trPr>
        <w:tc>
          <w:tcPr>
            <w:tcW w:w="10953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DA534C" w:rsidTr="002E03A2">
        <w:trPr>
          <w:trHeight w:val="343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Р.Б.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Врста студија </w:t>
            </w:r>
          </w:p>
        </w:tc>
      </w:tr>
      <w:tr w:rsidR="00DA534C" w:rsidTr="002E03A2">
        <w:trPr>
          <w:trHeight w:val="100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bookmarkStart w:id="0" w:name="_GoBack" w:colFirst="5" w:colLast="5"/>
            <w:r>
              <w:rPr>
                <w:sz w:val="18"/>
                <w:szCs w:val="18"/>
              </w:rPr>
              <w:t>1.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OKN011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Медијска публика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244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ONO030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Култура комуницирања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Предавања 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262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OKN020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Методологија медијског истраживања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370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ODN015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Истраживање јавног мњења и публике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ОАС  Комуникологије 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217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ODN002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Новинарство сензитивно на трауму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Предавања 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262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OKN025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Медијске платформе и гејмификација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Предавања 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199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ONO032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Анализа медијског дискурса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DA534C" w:rsidTr="002E03A2">
        <w:trPr>
          <w:trHeight w:val="291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MKO008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Појединац и друштво у ери дигиталних медија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DA534C" w:rsidTr="002E03A2">
        <w:trPr>
          <w:trHeight w:val="262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MKO001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Методе и технике научног рада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Предавања и вежбе 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DA534C" w:rsidTr="002E03A2">
        <w:trPr>
          <w:trHeight w:val="181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MKO004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Медији, култура и миграције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 Комуникологије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DA534C" w:rsidTr="002E03A2">
        <w:trPr>
          <w:trHeight w:val="208"/>
          <w:jc w:val="center"/>
        </w:trPr>
        <w:tc>
          <w:tcPr>
            <w:tcW w:w="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</w:t>
            </w:r>
          </w:p>
        </w:tc>
        <w:tc>
          <w:tcPr>
            <w:tcW w:w="1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MPD013</w:t>
            </w:r>
          </w:p>
        </w:tc>
        <w:tc>
          <w:tcPr>
            <w:tcW w:w="40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Међукултурна комуникација и медији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198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 Педагогија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C166D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bookmarkEnd w:id="0"/>
      <w:tr w:rsidR="00DA534C" w:rsidTr="002E03A2">
        <w:trPr>
          <w:trHeight w:val="91"/>
          <w:jc w:val="center"/>
        </w:trPr>
        <w:tc>
          <w:tcPr>
            <w:tcW w:w="10953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Mitrović, M., Vujović, M., &amp; </w:t>
            </w:r>
            <w:r>
              <w:rPr>
                <w:b/>
                <w:bCs/>
                <w:sz w:val="18"/>
                <w:szCs w:val="18"/>
              </w:rPr>
              <w:t>Stamenković, I.</w:t>
            </w:r>
            <w:r>
              <w:rPr>
                <w:sz w:val="18"/>
                <w:szCs w:val="18"/>
              </w:rPr>
              <w:t xml:space="preserve"> (2025). Coverage of the European Parliament elections by media portals in Serbia. </w:t>
            </w:r>
            <w:r>
              <w:rPr>
                <w:i/>
                <w:iCs/>
                <w:sz w:val="18"/>
                <w:szCs w:val="18"/>
              </w:rPr>
              <w:t>Media and Communication</w:t>
            </w:r>
            <w:r>
              <w:rPr>
                <w:sz w:val="18"/>
                <w:szCs w:val="18"/>
              </w:rPr>
              <w:t xml:space="preserve">, 13(1), 1–15. </w:t>
            </w:r>
            <w:hyperlink r:id="rId8">
              <w:r>
                <w:rPr>
                  <w:color w:val="0000FF"/>
                  <w:sz w:val="18"/>
                  <w:szCs w:val="18"/>
                  <w:u w:val="single"/>
                </w:rPr>
                <w:t>https://doi.org/10.17645/mac.v13i1.10633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Stamenković, I</w:t>
            </w:r>
            <w:r>
              <w:rPr>
                <w:sz w:val="18"/>
                <w:szCs w:val="18"/>
              </w:rPr>
              <w:t xml:space="preserve">., Đukić, T., Aleksić, D. (2018) „The phenomenon of media multitasking in the digital media era“, </w:t>
            </w:r>
            <w:r>
              <w:rPr>
                <w:i/>
                <w:iCs/>
                <w:sz w:val="18"/>
                <w:szCs w:val="18"/>
              </w:rPr>
              <w:t>Facta Universitatis, Series: Teaching, learning and teacher education</w:t>
            </w:r>
            <w:r>
              <w:rPr>
                <w:sz w:val="18"/>
                <w:szCs w:val="18"/>
              </w:rPr>
              <w:t>, Vol. 2, No 1, 71-83.</w:t>
            </w:r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1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Stamenković, I</w:t>
            </w:r>
            <w:r>
              <w:rPr>
                <w:color w:val="000000"/>
                <w:sz w:val="18"/>
                <w:szCs w:val="18"/>
              </w:rPr>
              <w:t xml:space="preserve">. &amp; Mitrović, M. (2025). The Phenomenon of Ghosting in Digital Communication. </w:t>
            </w:r>
            <w:r>
              <w:rPr>
                <w:i/>
                <w:iCs/>
                <w:color w:val="000000"/>
                <w:sz w:val="18"/>
                <w:szCs w:val="18"/>
              </w:rPr>
              <w:t>Balkan Social Science Review</w:t>
            </w:r>
            <w:r>
              <w:rPr>
                <w:color w:val="000000"/>
                <w:sz w:val="18"/>
                <w:szCs w:val="18"/>
              </w:rPr>
              <w:t>, Vol. 26 No. 26 </w:t>
            </w:r>
          </w:p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Doi: </w:t>
            </w:r>
            <w:hyperlink r:id="rId9">
              <w:r>
                <w:rPr>
                  <w:color w:val="0000FF"/>
                  <w:sz w:val="18"/>
                  <w:szCs w:val="18"/>
                  <w:u w:val="single"/>
                </w:rPr>
                <w:t>https://doi.org/10.46763/BSSR252626323s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Алексић, Д., </w:t>
            </w:r>
            <w:r>
              <w:rPr>
                <w:b/>
                <w:bCs/>
                <w:sz w:val="18"/>
                <w:szCs w:val="18"/>
              </w:rPr>
              <w:t xml:space="preserve">Стаменковић, И. </w:t>
            </w:r>
            <w:r>
              <w:rPr>
                <w:sz w:val="18"/>
                <w:szCs w:val="18"/>
              </w:rPr>
              <w:t xml:space="preserve">(2019). Мигрантска и избегличка криза: Компаративни приказ извештавања дневних листова Блиц, Политика и Курир. </w:t>
            </w:r>
            <w:r>
              <w:rPr>
                <w:i/>
                <w:iCs/>
                <w:sz w:val="18"/>
                <w:szCs w:val="18"/>
              </w:rPr>
              <w:t>Теме: Часопис за друштвене науке</w:t>
            </w:r>
            <w:r>
              <w:rPr>
                <w:sz w:val="18"/>
                <w:szCs w:val="18"/>
              </w:rPr>
              <w:t xml:space="preserve">. vol. XLIII, бр. 3/2019. 839-859. </w:t>
            </w:r>
            <w:hyperlink r:id="rId10">
              <w:r>
                <w:rPr>
                  <w:color w:val="0000FF"/>
                  <w:sz w:val="18"/>
                  <w:szCs w:val="18"/>
                  <w:u w:val="single"/>
                </w:rPr>
                <w:t>https://doi.org/10.22190/TEME171213051A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Stamenković, I</w:t>
            </w:r>
            <w:r>
              <w:rPr>
                <w:sz w:val="18"/>
                <w:szCs w:val="18"/>
              </w:rPr>
              <w:t xml:space="preserve">., &amp; Aleksić, D. (2025). Digital Overload: Fatigue and Information Avoidance on Social Media. </w:t>
            </w:r>
            <w:r>
              <w:rPr>
                <w:i/>
                <w:iCs/>
                <w:sz w:val="18"/>
                <w:szCs w:val="18"/>
              </w:rPr>
              <w:t>Applied Media Studies Journal</w:t>
            </w:r>
            <w:r>
              <w:rPr>
                <w:sz w:val="18"/>
                <w:szCs w:val="18"/>
              </w:rPr>
              <w:t xml:space="preserve">, 6(2), 27–41. Retrieved from </w:t>
            </w:r>
            <w:hyperlink r:id="rId11">
              <w:r>
                <w:rPr>
                  <w:color w:val="0000FF"/>
                  <w:sz w:val="18"/>
                  <w:szCs w:val="18"/>
                  <w:u w:val="single"/>
                </w:rPr>
                <w:t>https://msae.rs/index.php/home/article/view/167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Stamenković, I., </w:t>
            </w:r>
            <w:r>
              <w:rPr>
                <w:sz w:val="18"/>
                <w:szCs w:val="18"/>
              </w:rPr>
              <w:t xml:space="preserve">&amp; Mitrović, M. (2023). The Motivation for Using the Social Media Platform TikTok from the Perspective of the Uses and Gratifications Theory. </w:t>
            </w:r>
            <w:r>
              <w:rPr>
                <w:i/>
                <w:iCs/>
                <w:sz w:val="18"/>
                <w:szCs w:val="18"/>
              </w:rPr>
              <w:t>Media Studies and Applied Ethics,</w:t>
            </w:r>
            <w:r>
              <w:rPr>
                <w:sz w:val="18"/>
                <w:szCs w:val="18"/>
              </w:rPr>
              <w:t xml:space="preserve"> 4(2), 9–23. Retrieved from </w:t>
            </w:r>
            <w:hyperlink r:id="rId12">
              <w:r>
                <w:rPr>
                  <w:b/>
                  <w:bCs/>
                  <w:color w:val="0000FF"/>
                  <w:sz w:val="18"/>
                  <w:szCs w:val="18"/>
                  <w:u w:val="single"/>
                </w:rPr>
                <w:t>https://msae.rs/index.php/home/article/view/84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Stamenković, I.</w:t>
            </w:r>
            <w:r>
              <w:rPr>
                <w:sz w:val="18"/>
                <w:szCs w:val="18"/>
              </w:rPr>
              <w:t xml:space="preserve">, Aleksić, D. &amp; Živadinović, Đ. T. (2023). </w:t>
            </w:r>
            <w:hyperlink r:id="rId13">
              <w:r>
                <w:rPr>
                  <w:sz w:val="18"/>
                  <w:szCs w:val="18"/>
                </w:rPr>
                <w:t>Social Media Algorithms and Data Management</w:t>
              </w:r>
            </w:hyperlink>
            <w:r>
              <w:rPr>
                <w:sz w:val="18"/>
                <w:szCs w:val="18"/>
              </w:rPr>
              <w:t xml:space="preserve"> Balkan Social Science Review 21 (21), 199-217</w:t>
            </w:r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Stamenković, I. (2024). </w:t>
            </w:r>
            <w:hyperlink r:id="rId14">
              <w:r>
                <w:rPr>
                  <w:sz w:val="18"/>
                  <w:szCs w:val="18"/>
                </w:rPr>
                <w:t>Religijski elementi medijskog izveštavanja o migrantima – komparacija novinarske i</w:t>
              </w:r>
            </w:hyperlink>
            <w:r>
              <w:rPr>
                <w:sz w:val="18"/>
                <w:szCs w:val="18"/>
              </w:rPr>
              <w:t xml:space="preserve"> </w:t>
            </w:r>
            <w:hyperlink r:id="rId15">
              <w:r>
                <w:rPr>
                  <w:sz w:val="18"/>
                  <w:szCs w:val="18"/>
                </w:rPr>
                <w:t>čitalačke perspektive,</w:t>
              </w:r>
            </w:hyperlink>
            <w:r>
              <w:rPr>
                <w:sz w:val="18"/>
                <w:szCs w:val="18"/>
              </w:rPr>
              <w:t xml:space="preserve"> Sociološki pregled 58 (3), 291–319, doi:  </w:t>
            </w:r>
            <w:hyperlink r:id="rId16">
              <w:r>
                <w:rPr>
                  <w:color w:val="0000FF"/>
                  <w:sz w:val="18"/>
                  <w:szCs w:val="18"/>
                  <w:u w:val="single"/>
                </w:rPr>
                <w:t>https://doi.org/10.5937/socpreg58-51132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Stamenković, I. (2024). Migrants in the media – analysis of readers’ comments. FACTA UNIVERSITATIS-Philosophy, Sociology, Psychology and History 23 (1), 45-56 </w:t>
            </w:r>
            <w:hyperlink r:id="rId17">
              <w:r>
                <w:rPr>
                  <w:b/>
                  <w:bCs/>
                  <w:color w:val="0000FF"/>
                  <w:sz w:val="18"/>
                  <w:szCs w:val="18"/>
                  <w:u w:val="single"/>
                </w:rPr>
                <w:t>https://doi.org/10.22190/FUPSPH240426004S</w:t>
              </w:r>
            </w:hyperlink>
          </w:p>
        </w:tc>
      </w:tr>
      <w:tr w:rsidR="00DA534C" w:rsidTr="002E03A2">
        <w:trPr>
          <w:trHeight w:val="427"/>
          <w:jc w:val="center"/>
        </w:trPr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Pr="002E03A2" w:rsidRDefault="002E03A2" w:rsidP="002E03A2">
            <w:pPr>
              <w:tabs>
                <w:tab w:val="left" w:pos="567"/>
              </w:tabs>
              <w:rPr>
                <w:sz w:val="18"/>
                <w:szCs w:val="18"/>
                <w:lang w:val="sr-Cyrl-RS"/>
              </w:rPr>
            </w:pPr>
            <w:r>
              <w:rPr>
                <w:sz w:val="18"/>
                <w:szCs w:val="18"/>
                <w:lang w:val="sr-Cyrl-RS"/>
              </w:rPr>
              <w:t>10.</w:t>
            </w:r>
          </w:p>
        </w:tc>
        <w:tc>
          <w:tcPr>
            <w:tcW w:w="1048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534C" w:rsidRDefault="00CB2810" w:rsidP="002E03A2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Aleksić, D</w:t>
            </w:r>
            <w:r>
              <w:rPr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 xml:space="preserve"> &amp; </w:t>
            </w:r>
            <w:r>
              <w:rPr>
                <w:b/>
                <w:bCs/>
                <w:sz w:val="18"/>
                <w:szCs w:val="18"/>
              </w:rPr>
              <w:t>Stamenković, I.</w:t>
            </w:r>
            <w:r>
              <w:rPr>
                <w:sz w:val="18"/>
                <w:szCs w:val="18"/>
              </w:rPr>
              <w:t xml:space="preserve"> (2026). Elements of peace journalism in Serbian media: a case study of Israeli-Palestinian conflict on news portals Danas and Kurir. </w:t>
            </w:r>
            <w:r>
              <w:rPr>
                <w:i/>
                <w:iCs/>
                <w:sz w:val="18"/>
                <w:szCs w:val="18"/>
              </w:rPr>
              <w:t>Teme</w:t>
            </w:r>
            <w:r>
              <w:rPr>
                <w:b/>
                <w:bCs/>
                <w:sz w:val="18"/>
                <w:szCs w:val="18"/>
              </w:rPr>
              <w:t xml:space="preserve">: </w:t>
            </w:r>
            <w:r>
              <w:rPr>
                <w:i/>
                <w:iCs/>
                <w:sz w:val="18"/>
                <w:szCs w:val="18"/>
              </w:rPr>
              <w:t>Časopis za društvene nauke</w:t>
            </w:r>
            <w:r>
              <w:rPr>
                <w:b/>
                <w:bCs/>
                <w:i/>
                <w:iCs/>
                <w:sz w:val="18"/>
                <w:szCs w:val="18"/>
              </w:rPr>
              <w:t>.</w:t>
            </w:r>
            <w:r>
              <w:rPr>
                <w:b/>
                <w:bCs/>
                <w:sz w:val="18"/>
                <w:szCs w:val="18"/>
              </w:rPr>
              <w:t xml:space="preserve">  </w:t>
            </w:r>
            <w:hyperlink r:id="rId18">
              <w:r>
                <w:rPr>
                  <w:color w:val="000000"/>
                  <w:sz w:val="18"/>
                  <w:szCs w:val="18"/>
                </w:rPr>
                <w:t>Vol. L, No 1, 2026</w:t>
              </w:r>
            </w:hyperlink>
            <w:r>
              <w:rPr>
                <w:b/>
                <w:bCs/>
                <w:sz w:val="18"/>
                <w:szCs w:val="18"/>
              </w:rPr>
              <w:t xml:space="preserve">, </w:t>
            </w:r>
            <w:r>
              <w:rPr>
                <w:sz w:val="18"/>
                <w:szCs w:val="18"/>
              </w:rPr>
              <w:t xml:space="preserve">111-130. Print ISSN: 0353-7919, Online ISSN: 1820-7804. </w:t>
            </w:r>
            <w:hyperlink r:id="rId19">
              <w:r>
                <w:rPr>
                  <w:color w:val="0000FF"/>
                  <w:sz w:val="18"/>
                  <w:szCs w:val="18"/>
                  <w:u w:val="single"/>
                </w:rPr>
                <w:t>https://doi.org/10.22190/TEME250402009A</w:t>
              </w:r>
            </w:hyperlink>
          </w:p>
          <w:p w:rsidR="00DA534C" w:rsidRDefault="009B0BE7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hyperlink r:id="rId20">
              <w:r w:rsidR="00CB2810">
                <w:rPr>
                  <w:color w:val="0000FF"/>
                  <w:sz w:val="18"/>
                  <w:szCs w:val="18"/>
                  <w:u w:val="single"/>
                </w:rPr>
                <w:t>https://teme2.junis.ni.ac.rs/index.php/TEME/article/view/2051</w:t>
              </w:r>
            </w:hyperlink>
          </w:p>
        </w:tc>
      </w:tr>
      <w:tr w:rsidR="00DA534C" w:rsidTr="002E03A2">
        <w:trPr>
          <w:trHeight w:val="280"/>
          <w:jc w:val="center"/>
        </w:trPr>
        <w:tc>
          <w:tcPr>
            <w:tcW w:w="10953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bookmarkStart w:id="1" w:name="_heading=h.iqcadzlkrihv" w:colFirst="0" w:colLast="0"/>
            <w:bookmarkEnd w:id="1"/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DA534C" w:rsidTr="002E03A2">
        <w:trPr>
          <w:trHeight w:val="253"/>
          <w:jc w:val="center"/>
        </w:trPr>
        <w:tc>
          <w:tcPr>
            <w:tcW w:w="34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753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 (без аутоцитата, извор: Google Scholar)</w:t>
            </w:r>
          </w:p>
        </w:tc>
      </w:tr>
      <w:tr w:rsidR="00DA534C" w:rsidTr="002E03A2">
        <w:trPr>
          <w:trHeight w:val="172"/>
          <w:jc w:val="center"/>
        </w:trPr>
        <w:tc>
          <w:tcPr>
            <w:tcW w:w="34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753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DA534C" w:rsidTr="002E03A2">
        <w:trPr>
          <w:trHeight w:val="278"/>
          <w:jc w:val="center"/>
        </w:trPr>
        <w:tc>
          <w:tcPr>
            <w:tcW w:w="34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603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Домаћи: Домаћи: "Новинарство и односи с јавношћу између академске обуке и професионалних изазова: 55 година Филозофског факултета у Нишу". Пројекат се изводи на Филозофском факултету у Нишу, број пројекта: 373/1-12-01</w:t>
            </w:r>
          </w:p>
        </w:tc>
        <w:tc>
          <w:tcPr>
            <w:tcW w:w="150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A534C" w:rsidRDefault="00CB2810" w:rsidP="002E03A2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Међународни</w:t>
            </w:r>
          </w:p>
        </w:tc>
      </w:tr>
    </w:tbl>
    <w:p w:rsidR="00DA534C" w:rsidRDefault="00DA534C">
      <w:pPr>
        <w:rPr>
          <w:sz w:val="6"/>
          <w:szCs w:val="6"/>
        </w:rPr>
      </w:pPr>
    </w:p>
    <w:sectPr w:rsidR="00DA534C">
      <w:headerReference w:type="default" r:id="rId21"/>
      <w:footerReference w:type="default" r:id="rId22"/>
      <w:pgSz w:w="11906" w:h="16838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0BE7" w:rsidRDefault="009B0BE7">
      <w:r>
        <w:separator/>
      </w:r>
    </w:p>
  </w:endnote>
  <w:endnote w:type="continuationSeparator" w:id="0">
    <w:p w:rsidR="009B0BE7" w:rsidRDefault="009B0B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72A28EF5-0C65-405A-9734-DE0DFFC8CE3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E746E97-E767-4068-B78F-31BACCA4183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6BC0E65-0AEF-4B96-A776-C266B1A48C6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A534C" w:rsidRDefault="00CB28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0BE7" w:rsidRDefault="009B0BE7">
      <w:r>
        <w:separator/>
      </w:r>
    </w:p>
  </w:footnote>
  <w:footnote w:type="continuationSeparator" w:id="0">
    <w:p w:rsidR="009B0BE7" w:rsidRDefault="009B0B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A534C" w:rsidRDefault="00CB281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Layout w:type="fixed"/>
      <w:tblLook w:val="0000" w:firstRow="0" w:lastRow="0" w:firstColumn="0" w:lastColumn="0" w:noHBand="0" w:noVBand="0"/>
    </w:tblPr>
    <w:tblGrid>
      <w:gridCol w:w="1633"/>
      <w:gridCol w:w="7560"/>
      <w:gridCol w:w="1669"/>
    </w:tblGrid>
    <w:tr w:rsidR="00DA534C">
      <w:trPr>
        <w:trHeight w:val="367"/>
        <w:jc w:val="center"/>
      </w:trPr>
      <w:tc>
        <w:tcPr>
          <w:tcW w:w="1633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DA534C" w:rsidRDefault="00CB2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FFFFFF"/>
          <w:vAlign w:val="center"/>
        </w:tcPr>
        <w:p w:rsidR="00DA534C" w:rsidRDefault="00CB2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DA534C" w:rsidRDefault="00CB2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DA534C" w:rsidRDefault="00CB2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DA534C">
      <w:trPr>
        <w:trHeight w:val="467"/>
        <w:jc w:val="center"/>
      </w:trPr>
      <w:tc>
        <w:tcPr>
          <w:tcW w:w="1633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DA534C" w:rsidRDefault="00DA534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E6E6E6"/>
          <w:vAlign w:val="center"/>
        </w:tcPr>
        <w:p w:rsidR="00DA534C" w:rsidRDefault="00CB2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DA534C" w:rsidRDefault="00DA534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DA534C">
      <w:trPr>
        <w:trHeight w:val="449"/>
        <w:jc w:val="center"/>
      </w:trPr>
      <w:tc>
        <w:tcPr>
          <w:tcW w:w="1633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DA534C" w:rsidRDefault="00DA534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FFFFFF"/>
          <w:vAlign w:val="center"/>
        </w:tcPr>
        <w:p w:rsidR="00DA534C" w:rsidRDefault="00CB281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:rsidR="00DA534C" w:rsidRDefault="00DA534C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DA534C" w:rsidRDefault="00DA534C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01648E"/>
    <w:multiLevelType w:val="multilevel"/>
    <w:tmpl w:val="C0D65A8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534C"/>
    <w:rsid w:val="002E03A2"/>
    <w:rsid w:val="009B0BE7"/>
    <w:rsid w:val="00C166DB"/>
    <w:rsid w:val="00CB2810"/>
    <w:rsid w:val="00DA53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D878B3"/>
  <w15:docId w15:val="{8EF7BD0C-D05B-4F42-A47C-D6B68D0994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17645/mac.v13i1.10633" TargetMode="External"/><Relationship Id="rId13" Type="http://schemas.openxmlformats.org/officeDocument/2006/relationships/hyperlink" Target="https://scholar.google.com/citations?view_op=view_citation&amp;hl=sr&amp;user=mrsq-foAAAAJ&amp;citation_for_view=mrsq-foAAAAJ%3AYsMSGLbcyi4C" TargetMode="External"/><Relationship Id="rId18" Type="http://schemas.openxmlformats.org/officeDocument/2006/relationships/hyperlink" Target="https://teme2.junis.ni.ac.rs/index.php/TEME/issue/view/67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msae.rs/index.php/home/article/view/84" TargetMode="External"/><Relationship Id="rId17" Type="http://schemas.openxmlformats.org/officeDocument/2006/relationships/hyperlink" Target="https://doi.org/10.22190/FUPSPH240426004S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doi.org/10.5937/socpreg58-51132" TargetMode="External"/><Relationship Id="rId20" Type="http://schemas.openxmlformats.org/officeDocument/2006/relationships/hyperlink" Target="https://teme2.junis.ni.ac.rs/index.php/TEME/article/view/205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sae.rs/index.php/home/article/view/167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scholar.google.com/citations?view_op=view_citation&amp;hl=sr&amp;user=mrsq-foAAAAJ&amp;citation_for_view=mrsq-foAAAAJ%3ASe3iqnhoufwC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doi.org/10.22190/TEME171213051A" TargetMode="External"/><Relationship Id="rId19" Type="http://schemas.openxmlformats.org/officeDocument/2006/relationships/hyperlink" Target="https://doi.org/10.22190/TEME250402009A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oi.org/10.46763/BSSR252626323s" TargetMode="External"/><Relationship Id="rId14" Type="http://schemas.openxmlformats.org/officeDocument/2006/relationships/hyperlink" Target="https://scholar.google.com/citations?view_op=view_citation&amp;hl=sr&amp;user=mrsq-foAAAAJ&amp;citation_for_view=mrsq-foAAAAJ%3ASe3iqnhoufwC" TargetMode="External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D8XnXQiFIBwoTcWpN6NkPB9K1Gw==">CgMxLjAyDmguaXFjYWR6bGtyaWh2OAByITE2aEhRUEVUOG84bDYxdkpOOXA0TDM4eHk0ZWR5Y3ZUUA==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860</Words>
  <Characters>4908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3</cp:revision>
  <dcterms:created xsi:type="dcterms:W3CDTF">2026-07-07T01:17:00Z</dcterms:created>
  <dcterms:modified xsi:type="dcterms:W3CDTF">2026-07-07T01:27:00Z</dcterms:modified>
</cp:coreProperties>
</file>